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CA45F4" w:rsidRPr="00CA45F4" w:rsidRDefault="00CA45F4" w:rsidP="00CA45F4">
      <w:pPr>
        <w:spacing w:after="50" w:line="216" w:lineRule="exact"/>
        <w:ind w:firstLine="288"/>
        <w:jc w:val="both"/>
        <w:rPr>
          <w:rFonts w:ascii="Arial" w:eastAsia="Times New Roman" w:hAnsi="Arial" w:cs="Arial"/>
          <w:sz w:val="18"/>
          <w:szCs w:val="24"/>
          <w:lang w:val="es-ES" w:eastAsia="es-ES"/>
        </w:rPr>
      </w:pPr>
      <w:r w:rsidRPr="00CA45F4">
        <w:rPr>
          <w:rFonts w:ascii="Arial" w:eastAsia="Times New Roman" w:hAnsi="Arial" w:cs="Arial"/>
          <w:b/>
          <w:sz w:val="18"/>
          <w:szCs w:val="24"/>
          <w:lang w:val="es-ES" w:eastAsia="es-ES"/>
        </w:rPr>
        <w:t>Artículo 108.-</w:t>
      </w:r>
      <w:r w:rsidRPr="00CA45F4">
        <w:rPr>
          <w:rFonts w:ascii="Arial" w:eastAsia="Times New Roman" w:hAnsi="Arial" w:cs="Arial"/>
          <w:sz w:val="18"/>
          <w:szCs w:val="24"/>
          <w:lang w:val="es-ES" w:eastAsia="es-ES"/>
        </w:rPr>
        <w:t xml:space="preserve"> Si por las características y complejidad de los precios unitarios no considerados en el catálogo original del contrato no es posible su conciliación y autorización en el término señalado en el primer párrafo del artículo anterior, las dependencias y entidades, previa justificación, podrán autorizar hasta por un plazo de sesenta días naturales, el pago provisional de los costos directos de los insumos que efectivamente se hayan suministrado o utilizado en las obras, siempre que se cumplan las siguientes condiciones:</w:t>
      </w:r>
    </w:p>
    <w:p w:rsidR="00CA45F4" w:rsidRPr="00CA45F4" w:rsidRDefault="00CA45F4" w:rsidP="00CA45F4">
      <w:pPr>
        <w:spacing w:after="50" w:line="216" w:lineRule="exact"/>
        <w:ind w:left="864" w:hanging="576"/>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I.</w:t>
      </w:r>
      <w:r w:rsidRPr="00CA45F4">
        <w:rPr>
          <w:rFonts w:ascii="Arial" w:eastAsia="Times New Roman" w:hAnsi="Arial" w:cs="Arial"/>
          <w:b/>
          <w:sz w:val="18"/>
          <w:szCs w:val="20"/>
          <w:lang w:val="es-ES" w:eastAsia="es-ES"/>
        </w:rPr>
        <w:tab/>
      </w:r>
      <w:r w:rsidRPr="00CA45F4">
        <w:rPr>
          <w:rFonts w:ascii="Arial" w:eastAsia="Times New Roman" w:hAnsi="Arial" w:cs="Arial"/>
          <w:sz w:val="18"/>
          <w:szCs w:val="20"/>
          <w:lang w:val="es-ES" w:eastAsia="es-ES"/>
        </w:rPr>
        <w:t>Que se cuente con la autorización del residente y del área encargada de los precios unitarios y, en su caso, del supervisor;</w:t>
      </w:r>
    </w:p>
    <w:p w:rsidR="00CA45F4" w:rsidRPr="00CA45F4" w:rsidRDefault="00CA45F4" w:rsidP="00CA45F4">
      <w:pPr>
        <w:spacing w:after="50" w:line="216" w:lineRule="exact"/>
        <w:ind w:left="864" w:hanging="576"/>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II.</w:t>
      </w:r>
      <w:r w:rsidRPr="00CA45F4">
        <w:rPr>
          <w:rFonts w:ascii="Arial" w:eastAsia="Times New Roman" w:hAnsi="Arial" w:cs="Arial"/>
          <w:b/>
          <w:sz w:val="18"/>
          <w:szCs w:val="20"/>
          <w:lang w:val="es-ES" w:eastAsia="es-ES"/>
        </w:rPr>
        <w:tab/>
      </w:r>
      <w:r w:rsidRPr="002734B2">
        <w:rPr>
          <w:rFonts w:ascii="Arial" w:eastAsia="Times New Roman" w:hAnsi="Arial" w:cs="Arial"/>
          <w:b/>
          <w:i/>
          <w:sz w:val="18"/>
          <w:szCs w:val="20"/>
          <w:u w:val="single"/>
          <w:lang w:val="es-ES" w:eastAsia="es-ES"/>
        </w:rPr>
        <w:t>Que los pagos cuenten con el soporte documental necesario que justifique que el contratista efectivamente ya realizó su pago, tales como facturas, nóminas, costos horarios, entre otros</w:t>
      </w:r>
      <w:r w:rsidRPr="00CA45F4">
        <w:rPr>
          <w:rFonts w:ascii="Arial" w:eastAsia="Times New Roman" w:hAnsi="Arial" w:cs="Arial"/>
          <w:sz w:val="18"/>
          <w:szCs w:val="20"/>
          <w:lang w:val="es-ES" w:eastAsia="es-ES"/>
        </w:rPr>
        <w:t>;</w:t>
      </w:r>
    </w:p>
    <w:p w:rsidR="00CA45F4" w:rsidRPr="00CA45F4" w:rsidRDefault="00CA45F4" w:rsidP="00CA45F4">
      <w:pPr>
        <w:spacing w:after="50" w:line="216" w:lineRule="exact"/>
        <w:ind w:left="864" w:hanging="576"/>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III.</w:t>
      </w:r>
      <w:r w:rsidRPr="00CA45F4">
        <w:rPr>
          <w:rFonts w:ascii="Arial" w:eastAsia="Times New Roman" w:hAnsi="Arial" w:cs="Arial"/>
          <w:b/>
          <w:sz w:val="18"/>
          <w:szCs w:val="20"/>
          <w:lang w:val="es-ES" w:eastAsia="es-ES"/>
        </w:rPr>
        <w:tab/>
      </w:r>
      <w:r w:rsidRPr="00CA45F4">
        <w:rPr>
          <w:rFonts w:ascii="Arial" w:eastAsia="Times New Roman" w:hAnsi="Arial" w:cs="Arial"/>
          <w:sz w:val="18"/>
          <w:szCs w:val="20"/>
          <w:lang w:val="es-ES" w:eastAsia="es-ES"/>
        </w:rPr>
        <w:t>Que el residente y, en su caso, el supervisor lleven un control diario, con sus respectivas anotaciones en la Bitácora, de los siguientes conceptos:</w:t>
      </w:r>
    </w:p>
    <w:p w:rsidR="00CA45F4" w:rsidRPr="00CA45F4" w:rsidRDefault="00CA45F4" w:rsidP="00CA45F4">
      <w:pPr>
        <w:spacing w:after="50" w:line="216" w:lineRule="exact"/>
        <w:ind w:left="1296" w:hanging="432"/>
        <w:jc w:val="both"/>
        <w:rPr>
          <w:rFonts w:ascii="Arial" w:eastAsia="Times New Roman" w:hAnsi="Arial" w:cs="Arial"/>
          <w:sz w:val="18"/>
          <w:szCs w:val="24"/>
          <w:lang w:val="es-ES" w:eastAsia="es-ES"/>
        </w:rPr>
      </w:pPr>
      <w:r w:rsidRPr="00CA45F4">
        <w:rPr>
          <w:rFonts w:ascii="Arial" w:eastAsia="Times New Roman" w:hAnsi="Arial" w:cs="Arial"/>
          <w:b/>
          <w:sz w:val="18"/>
          <w:szCs w:val="24"/>
          <w:lang w:val="es-ES" w:eastAsia="es-ES"/>
        </w:rPr>
        <w:t>a)</w:t>
      </w:r>
      <w:r w:rsidRPr="00CA45F4">
        <w:rPr>
          <w:rFonts w:ascii="Arial" w:eastAsia="Times New Roman" w:hAnsi="Arial" w:cs="Arial"/>
          <w:b/>
          <w:sz w:val="18"/>
          <w:szCs w:val="24"/>
          <w:lang w:val="es-ES" w:eastAsia="es-ES"/>
        </w:rPr>
        <w:tab/>
      </w:r>
      <w:r w:rsidRPr="00CA45F4">
        <w:rPr>
          <w:rFonts w:ascii="Arial" w:eastAsia="Times New Roman" w:hAnsi="Arial" w:cs="Arial"/>
          <w:sz w:val="18"/>
          <w:szCs w:val="24"/>
          <w:lang w:val="es-ES" w:eastAsia="es-ES"/>
        </w:rPr>
        <w:t>Consumo de material, de acuerdo a lo requerido por los trabajos a ejecutar;</w:t>
      </w:r>
    </w:p>
    <w:p w:rsidR="00CA45F4" w:rsidRPr="00CA45F4" w:rsidRDefault="00CA45F4" w:rsidP="00CA45F4">
      <w:pPr>
        <w:spacing w:after="50" w:line="216" w:lineRule="exact"/>
        <w:ind w:left="1296" w:hanging="432"/>
        <w:jc w:val="both"/>
        <w:rPr>
          <w:rFonts w:ascii="Arial" w:eastAsia="Times New Roman" w:hAnsi="Arial" w:cs="Arial"/>
          <w:sz w:val="18"/>
          <w:szCs w:val="24"/>
          <w:lang w:val="es-ES" w:eastAsia="es-ES"/>
        </w:rPr>
      </w:pPr>
      <w:r w:rsidRPr="00CA45F4">
        <w:rPr>
          <w:rFonts w:ascii="Arial" w:eastAsia="Times New Roman" w:hAnsi="Arial" w:cs="Arial"/>
          <w:b/>
          <w:sz w:val="18"/>
          <w:szCs w:val="24"/>
          <w:lang w:val="es-ES" w:eastAsia="es-ES"/>
        </w:rPr>
        <w:t>b)</w:t>
      </w:r>
      <w:r w:rsidRPr="00CA45F4">
        <w:rPr>
          <w:rFonts w:ascii="Arial" w:eastAsia="Times New Roman" w:hAnsi="Arial" w:cs="Arial"/>
          <w:b/>
          <w:sz w:val="18"/>
          <w:szCs w:val="24"/>
          <w:lang w:val="es-ES" w:eastAsia="es-ES"/>
        </w:rPr>
        <w:tab/>
      </w:r>
      <w:r w:rsidRPr="00CA45F4">
        <w:rPr>
          <w:rFonts w:ascii="Arial" w:eastAsia="Times New Roman" w:hAnsi="Arial" w:cs="Arial"/>
          <w:sz w:val="18"/>
          <w:szCs w:val="24"/>
          <w:lang w:val="es-ES" w:eastAsia="es-ES"/>
        </w:rPr>
        <w:t>Cantidad de mano de obra utilizada y las categorías del personal encargado específicamente de los trabajos, la que debe ser proporcionada en forma eficiente, de acuerdo con la experiencia en obr</w:t>
      </w:r>
      <w:bookmarkStart w:id="0" w:name="_GoBack"/>
      <w:bookmarkEnd w:id="0"/>
      <w:r w:rsidRPr="00CA45F4">
        <w:rPr>
          <w:rFonts w:ascii="Arial" w:eastAsia="Times New Roman" w:hAnsi="Arial" w:cs="Arial"/>
          <w:sz w:val="18"/>
          <w:szCs w:val="24"/>
          <w:lang w:val="es-ES" w:eastAsia="es-ES"/>
        </w:rPr>
        <w:t>as similares;</w:t>
      </w:r>
    </w:p>
    <w:p w:rsidR="00CA45F4" w:rsidRPr="00CA45F4" w:rsidRDefault="00CA45F4" w:rsidP="00CA45F4">
      <w:pPr>
        <w:spacing w:after="50" w:line="216" w:lineRule="exact"/>
        <w:ind w:left="1296" w:hanging="432"/>
        <w:jc w:val="both"/>
        <w:rPr>
          <w:rFonts w:ascii="Arial" w:eastAsia="Times New Roman" w:hAnsi="Arial" w:cs="Arial"/>
          <w:sz w:val="18"/>
          <w:szCs w:val="24"/>
          <w:lang w:val="es-ES" w:eastAsia="es-ES"/>
        </w:rPr>
      </w:pPr>
      <w:r w:rsidRPr="00CA45F4">
        <w:rPr>
          <w:rFonts w:ascii="Arial" w:eastAsia="Times New Roman" w:hAnsi="Arial" w:cs="Arial"/>
          <w:b/>
          <w:sz w:val="18"/>
          <w:szCs w:val="24"/>
          <w:lang w:val="es-ES" w:eastAsia="es-ES"/>
        </w:rPr>
        <w:t>c)</w:t>
      </w:r>
      <w:r w:rsidRPr="00CA45F4">
        <w:rPr>
          <w:rFonts w:ascii="Arial" w:eastAsia="Times New Roman" w:hAnsi="Arial" w:cs="Arial"/>
          <w:b/>
          <w:sz w:val="18"/>
          <w:szCs w:val="24"/>
          <w:lang w:val="es-ES" w:eastAsia="es-ES"/>
        </w:rPr>
        <w:tab/>
      </w:r>
      <w:r w:rsidRPr="00CA45F4">
        <w:rPr>
          <w:rFonts w:ascii="Arial" w:eastAsia="Times New Roman" w:hAnsi="Arial" w:cs="Arial"/>
          <w:sz w:val="18"/>
          <w:szCs w:val="24"/>
          <w:lang w:val="es-ES" w:eastAsia="es-ES"/>
        </w:rPr>
        <w:t>Cantidad de maquinaria o equipo de construcción utilizado en horas efectivas, los que deben ser proporcionados en forma eficiente y con rendimientos de máquinas y equipos nuevos, y</w:t>
      </w:r>
    </w:p>
    <w:p w:rsidR="00CA45F4" w:rsidRPr="00CA45F4" w:rsidRDefault="00CA45F4" w:rsidP="00CA45F4">
      <w:pPr>
        <w:spacing w:after="50" w:line="216" w:lineRule="exact"/>
        <w:ind w:left="1296" w:hanging="432"/>
        <w:jc w:val="both"/>
        <w:rPr>
          <w:rFonts w:ascii="Arial" w:eastAsia="Times New Roman" w:hAnsi="Arial" w:cs="Arial"/>
          <w:sz w:val="18"/>
          <w:szCs w:val="24"/>
          <w:lang w:val="es-ES" w:eastAsia="es-ES"/>
        </w:rPr>
      </w:pPr>
      <w:r w:rsidRPr="00CA45F4">
        <w:rPr>
          <w:rFonts w:ascii="Arial" w:eastAsia="Times New Roman" w:hAnsi="Arial" w:cs="Arial"/>
          <w:b/>
          <w:sz w:val="18"/>
          <w:szCs w:val="24"/>
          <w:lang w:val="es-ES" w:eastAsia="es-ES"/>
        </w:rPr>
        <w:t>d)</w:t>
      </w:r>
      <w:r w:rsidRPr="00CA45F4">
        <w:rPr>
          <w:rFonts w:ascii="Arial" w:eastAsia="Times New Roman" w:hAnsi="Arial" w:cs="Arial"/>
          <w:b/>
          <w:sz w:val="18"/>
          <w:szCs w:val="24"/>
          <w:lang w:val="es-ES" w:eastAsia="es-ES"/>
        </w:rPr>
        <w:tab/>
      </w:r>
      <w:r w:rsidRPr="00CA45F4">
        <w:rPr>
          <w:rFonts w:ascii="Arial" w:eastAsia="Times New Roman" w:hAnsi="Arial" w:cs="Arial"/>
          <w:sz w:val="18"/>
          <w:szCs w:val="24"/>
          <w:lang w:val="es-ES" w:eastAsia="es-ES"/>
        </w:rPr>
        <w:t>Cantidad o volumen de obra realizado durante la jornada;</w:t>
      </w:r>
    </w:p>
    <w:p w:rsidR="00CA45F4" w:rsidRPr="00CA45F4" w:rsidRDefault="00CA45F4" w:rsidP="00CA45F4">
      <w:pPr>
        <w:spacing w:after="50" w:line="216" w:lineRule="exact"/>
        <w:ind w:left="864" w:hanging="576"/>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IV.</w:t>
      </w:r>
      <w:r w:rsidRPr="00CA45F4">
        <w:rPr>
          <w:rFonts w:ascii="Arial" w:eastAsia="Times New Roman" w:hAnsi="Arial" w:cs="Arial"/>
          <w:sz w:val="18"/>
          <w:szCs w:val="20"/>
          <w:lang w:val="es-ES" w:eastAsia="es-ES"/>
        </w:rPr>
        <w:tab/>
        <w:t>Que una vez vencido el plazo de los sesenta días, sin llegar a la conciliación, la dependencia o entidad determinará el precio extraordinario definitivo con base en lo observado en la fracción anterior; debiendo considerar los porcentajes de indirectos, financiamiento, utilidad y cargos adicionales, pactados en el contrato, y</w:t>
      </w:r>
    </w:p>
    <w:p w:rsidR="00CA45F4" w:rsidRPr="00CA45F4" w:rsidRDefault="00CA45F4" w:rsidP="00CA45F4">
      <w:pPr>
        <w:spacing w:after="50" w:line="216" w:lineRule="exact"/>
        <w:ind w:left="864" w:hanging="576"/>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V.</w:t>
      </w:r>
      <w:r w:rsidRPr="00CA45F4">
        <w:rPr>
          <w:rFonts w:ascii="Arial" w:eastAsia="Times New Roman" w:hAnsi="Arial" w:cs="Arial"/>
          <w:sz w:val="18"/>
          <w:szCs w:val="20"/>
          <w:lang w:val="es-ES" w:eastAsia="es-ES"/>
        </w:rPr>
        <w:tab/>
        <w:t>Que en el caso de que exista un pago en exceso, se deberá hacer el ajuste correspondiente en la siguiente estimación, o bien, en el finiquito, y se procederá de acuerdo con lo establecido en el último párrafo del artículo 55 de la Ley, sin responsabilidad alguna para las partes.</w:t>
      </w:r>
    </w:p>
    <w:p w:rsidR="00CA45F4" w:rsidRPr="00CA45F4" w:rsidRDefault="00CA45F4" w:rsidP="00CA45F4">
      <w:pPr>
        <w:spacing w:after="50" w:line="216" w:lineRule="exact"/>
        <w:ind w:firstLine="288"/>
        <w:jc w:val="both"/>
        <w:rPr>
          <w:rFonts w:ascii="Arial" w:eastAsia="Times New Roman" w:hAnsi="Arial" w:cs="Arial"/>
          <w:sz w:val="18"/>
          <w:szCs w:val="24"/>
          <w:lang w:val="es-ES" w:eastAsia="es-ES"/>
        </w:rPr>
      </w:pPr>
      <w:r w:rsidRPr="00CA45F4">
        <w:rPr>
          <w:rFonts w:ascii="Arial" w:eastAsia="Times New Roman" w:hAnsi="Arial" w:cs="Arial"/>
          <w:sz w:val="18"/>
          <w:szCs w:val="24"/>
          <w:lang w:val="es-ES" w:eastAsia="es-ES"/>
        </w:rPr>
        <w:t>En todos los casos se deberá anotar mensualmente en la Bitácora los pagos autorizados y su monto total, las obras o contratos de que se trate y el importe definitivo de cada precio no previsto en el catálogo de conceptos original.</w:t>
      </w:r>
    </w:p>
    <w:p w:rsidR="006515C0" w:rsidRDefault="006515C0" w:rsidP="00E063E0">
      <w:pPr>
        <w:spacing w:after="46" w:line="240" w:lineRule="auto"/>
        <w:ind w:firstLine="288"/>
        <w:jc w:val="both"/>
        <w:rPr>
          <w:rFonts w:ascii="Arial" w:eastAsia="Times New Roman" w:hAnsi="Arial" w:cs="Arial"/>
          <w:b/>
          <w:sz w:val="18"/>
          <w:szCs w:val="24"/>
          <w:lang w:val="es-ES" w:eastAsia="es-ES"/>
        </w:rPr>
      </w:pPr>
    </w:p>
    <w:p w:rsidR="00CA45F4" w:rsidRPr="00CA45F4" w:rsidRDefault="00CA45F4" w:rsidP="00CA45F4">
      <w:pPr>
        <w:spacing w:after="55" w:line="220" w:lineRule="exact"/>
        <w:ind w:firstLine="288"/>
        <w:jc w:val="both"/>
        <w:rPr>
          <w:rFonts w:ascii="Arial" w:eastAsia="Times New Roman" w:hAnsi="Arial" w:cs="Arial"/>
          <w:sz w:val="18"/>
          <w:szCs w:val="20"/>
          <w:lang w:val="es-ES" w:eastAsia="es-ES"/>
        </w:rPr>
      </w:pPr>
      <w:r w:rsidRPr="00CA45F4">
        <w:rPr>
          <w:rFonts w:ascii="Arial" w:eastAsia="Times New Roman" w:hAnsi="Arial" w:cs="Arial"/>
          <w:b/>
          <w:sz w:val="18"/>
          <w:szCs w:val="20"/>
          <w:lang w:val="es-ES" w:eastAsia="es-ES"/>
        </w:rPr>
        <w:t xml:space="preserve">Artículo 128.- </w:t>
      </w:r>
      <w:r w:rsidRPr="00CA45F4">
        <w:rPr>
          <w:rFonts w:ascii="Arial" w:eastAsia="Times New Roman" w:hAnsi="Arial" w:cs="Arial"/>
          <w:sz w:val="18"/>
          <w:szCs w:val="20"/>
          <w:lang w:val="es-ES" w:eastAsia="es-ES"/>
        </w:rPr>
        <w:t>Una vez analizados y calculados los importes de las estimaciones, las dependencias y entidades deberán considerar para su pago los derechos e impuestos que les sean aplicables, así como retener el importe de los mismos, cuando corresponda, de conformidad con las disposiciones fiscales aplicables.</w:t>
      </w:r>
    </w:p>
    <w:p w:rsidR="00CA45F4" w:rsidRPr="00CA45F4" w:rsidRDefault="00CA45F4" w:rsidP="00CA45F4">
      <w:pPr>
        <w:spacing w:after="55" w:line="220" w:lineRule="exact"/>
        <w:ind w:firstLine="288"/>
        <w:jc w:val="both"/>
        <w:rPr>
          <w:rFonts w:ascii="Arial" w:eastAsia="Times New Roman" w:hAnsi="Arial" w:cs="Arial"/>
          <w:sz w:val="18"/>
          <w:szCs w:val="20"/>
          <w:lang w:val="es-ES" w:eastAsia="es-ES"/>
        </w:rPr>
      </w:pPr>
      <w:r w:rsidRPr="00CA45F4">
        <w:rPr>
          <w:rFonts w:ascii="Arial" w:eastAsia="Times New Roman" w:hAnsi="Arial" w:cs="Arial"/>
          <w:sz w:val="18"/>
          <w:szCs w:val="20"/>
          <w:lang w:val="es-ES" w:eastAsia="es-ES"/>
        </w:rPr>
        <w:t>Dentro del plazo a que se refiere el segundo párrafo del artículo 54 de la Ley, la dependencia o entidad deberá revisar la factura y, si reúne los requisitos administrativos y fiscales, tramitar y realizar el pago de la misma al contratista.</w:t>
      </w:r>
    </w:p>
    <w:p w:rsidR="00CA45F4" w:rsidRPr="00CA45F4" w:rsidRDefault="00CA45F4" w:rsidP="00CA45F4">
      <w:pPr>
        <w:spacing w:after="55" w:line="220" w:lineRule="exact"/>
        <w:ind w:firstLine="288"/>
        <w:jc w:val="both"/>
        <w:rPr>
          <w:rFonts w:ascii="Arial" w:eastAsia="Times New Roman" w:hAnsi="Arial" w:cs="Arial"/>
          <w:sz w:val="18"/>
          <w:szCs w:val="20"/>
          <w:lang w:val="es-ES" w:eastAsia="es-ES"/>
        </w:rPr>
      </w:pPr>
      <w:r w:rsidRPr="00CA45F4">
        <w:rPr>
          <w:rFonts w:ascii="Arial" w:eastAsia="Times New Roman" w:hAnsi="Arial" w:cs="Arial"/>
          <w:sz w:val="18"/>
          <w:szCs w:val="20"/>
          <w:lang w:val="es-ES" w:eastAsia="es-ES"/>
        </w:rPr>
        <w:t>El contratista será el único responsable de que las facturas que se presenten para su pago cumplan con los requisitos administrativos y fiscales, por lo que la falta de pago por la omisión de alguno de éstos o por su presentación incorrecta no será motivo para solicitar el pago de los gastos financieros a que hace referencia el artículo 55 de la Ley.</w:t>
      </w:r>
    </w:p>
    <w:p w:rsidR="00CA45F4" w:rsidRPr="00CA45F4" w:rsidRDefault="00CA45F4" w:rsidP="00CA45F4">
      <w:pPr>
        <w:spacing w:after="55" w:line="220" w:lineRule="exact"/>
        <w:ind w:firstLine="288"/>
        <w:jc w:val="both"/>
        <w:rPr>
          <w:rFonts w:ascii="Arial" w:eastAsia="Times New Roman" w:hAnsi="Arial" w:cs="Arial"/>
          <w:sz w:val="18"/>
          <w:szCs w:val="20"/>
          <w:lang w:val="es-ES" w:eastAsia="es-ES"/>
        </w:rPr>
      </w:pPr>
      <w:r w:rsidRPr="00CA45F4">
        <w:rPr>
          <w:rFonts w:ascii="Arial" w:eastAsia="Times New Roman" w:hAnsi="Arial" w:cs="Arial"/>
          <w:sz w:val="18"/>
          <w:szCs w:val="20"/>
          <w:lang w:val="es-ES" w:eastAsia="es-ES"/>
        </w:rPr>
        <w:t>En caso de que las facturas entregadas por los contratistas para su pago presenten errores o deficiencias, la dependencia o entidad,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rsidR="00CA45F4" w:rsidRPr="00CA45F4" w:rsidRDefault="00CA45F4" w:rsidP="00E063E0">
      <w:pPr>
        <w:spacing w:after="46" w:line="240" w:lineRule="auto"/>
        <w:ind w:firstLine="288"/>
        <w:jc w:val="both"/>
        <w:rPr>
          <w:rFonts w:ascii="Arial" w:eastAsia="Times New Roman" w:hAnsi="Arial" w:cs="Arial"/>
          <w:b/>
          <w:sz w:val="18"/>
          <w:szCs w:val="24"/>
          <w:lang w:val="es-ES" w:eastAsia="es-ES"/>
        </w:rPr>
      </w:pPr>
    </w:p>
    <w:sectPr w:rsidR="00CA45F4" w:rsidRPr="00CA45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734B2"/>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4258"/>
    <w:rsid w:val="00624F76"/>
    <w:rsid w:val="006515C0"/>
    <w:rsid w:val="00686EE2"/>
    <w:rsid w:val="00692AD0"/>
    <w:rsid w:val="006950E2"/>
    <w:rsid w:val="006F7B91"/>
    <w:rsid w:val="00751FBA"/>
    <w:rsid w:val="00800CAE"/>
    <w:rsid w:val="00832C3B"/>
    <w:rsid w:val="0086444C"/>
    <w:rsid w:val="008F780B"/>
    <w:rsid w:val="00923585"/>
    <w:rsid w:val="00923B5F"/>
    <w:rsid w:val="009719B5"/>
    <w:rsid w:val="00985651"/>
    <w:rsid w:val="00AA3E41"/>
    <w:rsid w:val="00AC5949"/>
    <w:rsid w:val="00B030C9"/>
    <w:rsid w:val="00B32B83"/>
    <w:rsid w:val="00B51B6E"/>
    <w:rsid w:val="00C77047"/>
    <w:rsid w:val="00C81638"/>
    <w:rsid w:val="00CA45F4"/>
    <w:rsid w:val="00CE5063"/>
    <w:rsid w:val="00E063E0"/>
    <w:rsid w:val="00E83FDB"/>
    <w:rsid w:val="00EE42A6"/>
    <w:rsid w:val="00F020DB"/>
    <w:rsid w:val="00F21720"/>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592</Words>
  <Characters>3258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6</cp:revision>
  <dcterms:created xsi:type="dcterms:W3CDTF">2013-04-12T13:38:00Z</dcterms:created>
  <dcterms:modified xsi:type="dcterms:W3CDTF">2013-04-22T14:52:00Z</dcterms:modified>
</cp:coreProperties>
</file>